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body>
    <w:p>
      <w:pPr>
        <w:spacing w:line="240" w:lineRule="exact"/>
      </w:pPr>
    </w:p>
    <w:p>
      <w:pPr>
        <w:spacing w:line="240" w:lineRule="exact"/>
      </w:pPr>
      <w:r>
        <mc:AlternateContent>
          <mc:Choice Requires="wps">
            <w:drawing>
              <wp:anchor distT="0" distB="0" distL="91438" distR="91438" simplePos="0" relativeHeight="16" behindDoc="0" locked="0" layoutInCell="1" hidden="0" allowOverlap="1">
                <wp:simplePos x="0" y="0"/>
                <wp:positionH relativeFrom="column">
                  <wp:posOffset>0</wp:posOffset>
                </wp:positionH>
                <wp:positionV relativeFrom="paragraph">
                  <wp:posOffset>-735330</wp:posOffset>
                </wp:positionV>
                <wp:extent cx="2207260" cy="652144"/>
                <wp:effectExtent l="0" t="0" r="0" b="0"/>
                <wp:wrapNone/>
                <wp:docPr id="1" name="矩形 1"/>
                <wp:cNvGraphicFramePr>
                  <a:graphicFrameLocks noChangeAspect="0"/>
                </wp:cNvGraphicFramePr>
                <a:graphic>
                  <a:graphicData uri="http://schemas.microsoft.com/office/word/2010/wordprocessingShape">
                    <wps:wsp>
                      <wps:cNvSpPr/>
                      <wps:spPr>
                        <a:xfrm rot="0">
                          <a:off x="0" y="0"/>
                          <a:ext cx="2207260" cy="652144"/>
                        </a:xfrm>
                        <a:prstGeom prst="rect"/>
                        <a:solidFill>
                          <a:srgbClr val="FFFFFF"/>
                        </a:solidFill>
                        <a:ln w="9525" cmpd="sng">
                          <a:solidFill>
                            <a:srgbClr val="000000"/>
                          </a:solidFill>
                          <a:prstDash val="solid"/>
                          <a:miter/>
                        </a:ln>
                      </wps:spPr>
                      <wps:txbx id="2">
                        <w:txbxContent>
                          <w:p>
                            <w:pPr>
                              <w:spacing w:beforeLines="10" w:before="57" w:line="360" w:lineRule="exact"/>
                              <w:jc w:val="center"/>
                              <w:rPr>
                                <w:rFonts w:ascii="宋体" w:eastAsia="宋体"/>
                                <w:sz w:val="24"/>
                                <w:szCs w:val="24"/>
                              </w:rPr>
                            </w:pPr>
                            <w:r>
                              <w:rPr>
                                <w:rFonts w:ascii="宋体" w:eastAsia="宋体" w:cs="宋体" w:hint="eastAsia"/>
                                <w:sz w:val="24"/>
                                <w:szCs w:val="24"/>
                              </w:rPr>
                              <w:t>遂宁市市级行政规范性文件</w:t>
                            </w:r>
                          </w:p>
                          <w:p>
                            <w:pPr>
                              <w:spacing w:line="360" w:lineRule="exact"/>
                              <w:jc w:val="center"/>
                              <w:rPr>
                                <w:rFonts w:ascii="宋体" w:eastAsia="宋体"/>
                                <w:sz w:val="24"/>
                                <w:szCs w:val="24"/>
                              </w:rPr>
                            </w:pPr>
                            <w:r>
                              <w:rPr>
                                <w:rFonts w:ascii="宋体" w:eastAsia="宋体" w:cs="宋体" w:hint="eastAsia"/>
                                <w:sz w:val="24"/>
                                <w:szCs w:val="24"/>
                              </w:rPr>
                              <w:t>统一编号：</w:t>
                            </w:r>
                            <w:r>
                              <w:rPr>
                                <w:rFonts w:ascii="宋体" w:eastAsia="宋体" w:cs="宋体"/>
                                <w:sz w:val="24"/>
                                <w:szCs w:val="24"/>
                              </w:rPr>
                              <w:t>CCZJR—2017—038</w:t>
                            </w:r>
                          </w:p>
                        </w:txbxContent>
                      </wps:txbx>
                      <wps:bodyPr vert="horz" wrap="square" lIns="91440" tIns="45720" rIns="91440" bIns="45720" anchor="t" anchorCtr="0" upright="1">
                        <a:noAutofit/>
                      </wps:bodyPr>
                    </wps:wsp>
                  </a:graphicData>
                </a:graphic>
              </wp:anchor>
            </w:drawing>
          </mc:Choice>
          <mc:Fallback>
            <w:pict>
              <v:rect type="#_x0000_t1" id="矩形 3" o:spid="_x0000_s3" fillcolor="#FFFFFF" stroked="t" style="position:absolute;&#13;&#10;margin-left:0.0pt;&#13;&#10;margin-top:-57.9pt;&#13;&#10;width:173.80002pt;&#13;&#10;height:51.35pt;&#13;&#10;z-index:16;&#13;&#10;mso-position-horizontal:absolute;&#13;&#10;mso-position-vertical:absolute;&#13;&#10;mso-wrap-distance-left:7.19989pt;&#13;&#10;mso-wrap-distance-right:7.19989pt;&#13;&#10;mso-wrap-style:square;">
                <v:stroke color="000000"/>
                <v:textbox id="848" inset="2.54mm,1.27mm,2.54mm,1.27mm" o:insetmode="custom" style="layout-flow:horizontal;&#13;&#10;v-text-anchor:top;">
                  <w:txbxContent>
                    <w:p>
                      <w:pPr>
                        <w:spacing w:beforeLines="10" w:before="57" w:line="360" w:lineRule="exact"/>
                        <w:jc w:val="center"/>
                        <w:rPr>
                          <w:rFonts w:ascii="宋体" w:eastAsia="宋体"/>
                          <w:sz w:val="24"/>
                          <w:szCs w:val="24"/>
                        </w:rPr>
                      </w:pPr>
                      <w:r>
                        <w:rPr>
                          <w:rFonts w:ascii="宋体" w:eastAsia="宋体" w:cs="宋体" w:hint="eastAsia"/>
                          <w:sz w:val="24"/>
                          <w:szCs w:val="24"/>
                        </w:rPr>
                        <w:t>遂宁市市级行政规范性文件</w:t>
                      </w:r>
                    </w:p>
                    <w:p>
                      <w:pPr>
                        <w:spacing w:line="360" w:lineRule="exact"/>
                        <w:jc w:val="center"/>
                        <w:rPr>
                          <w:rFonts w:ascii="宋体" w:eastAsia="宋体"/>
                          <w:sz w:val="24"/>
                          <w:szCs w:val="24"/>
                        </w:rPr>
                      </w:pPr>
                      <w:r>
                        <w:rPr>
                          <w:rFonts w:ascii="宋体" w:eastAsia="宋体" w:cs="宋体" w:hint="eastAsia"/>
                          <w:sz w:val="24"/>
                          <w:szCs w:val="24"/>
                        </w:rPr>
                        <w:t>统一编号：</w:t>
                      </w:r>
                      <w:r>
                        <w:rPr>
                          <w:rFonts w:ascii="宋体" w:eastAsia="宋体" w:cs="宋体"/>
                          <w:sz w:val="24"/>
                          <w:szCs w:val="24"/>
                        </w:rPr>
                        <w:t>CCZJR—2017—038</w:t>
                      </w:r>
                    </w:p>
                  </w:txbxContent>
                </v:textbox>
              </v:rect>
            </w:pict>
          </mc:Fallback>
        </mc:AlternateContent>
      </w:r>
    </w:p>
    <w:tbl>
      <w:tblPr>
        <w:jc w:val="center"/>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8535"/>
      </w:tblGrid>
      <w:tr>
        <w:trPr>
          <w:trHeight w:val="585"/>
        </w:trPr>
        <w:tc>
          <w:tcPr>
            <w:tcW w:w="8535" w:type="dxa"/>
          </w:tcPr>
          <w:p>
            <w:pPr>
              <w:spacing w:line="1300" w:lineRule="exact"/>
              <w:jc w:val="distribute"/>
              <w:rPr>
                <w:rFonts w:ascii="方正小标宋简体" w:eastAsia="方正小标宋简体"/>
                <w:color w:val="FF0000"/>
                <w:w w:val="85"/>
                <w:sz w:val="100"/>
                <w:szCs w:val="100"/>
              </w:rPr>
            </w:pPr>
            <w:r>
              <w:rPr>
                <w:rFonts w:ascii="方正小标宋简体" w:eastAsia="方正小标宋简体" w:cs="方正小标宋简体" w:hint="eastAsia"/>
                <w:color w:val="FF0000"/>
                <w:w w:val="85"/>
                <w:sz w:val="100"/>
                <w:szCs w:val="100"/>
              </w:rPr>
              <w:t>遂宁市财政局</w:t>
            </w:r>
          </w:p>
          <w:p>
            <w:pPr>
              <w:spacing w:line="1300" w:lineRule="exact"/>
              <w:jc w:val="distribute"/>
            </w:pPr>
            <w:r>
              <w:rPr>
                <w:rFonts w:ascii="方正小标宋简体" w:eastAsia="方正小标宋简体" w:cs="方正小标宋简体" w:hint="eastAsia"/>
                <w:color w:val="FF0000"/>
                <w:w w:val="85"/>
                <w:sz w:val="100"/>
                <w:szCs w:val="100"/>
              </w:rPr>
              <w:t>遂宁市环境保护局</w:t>
            </w:r>
          </w:p>
        </w:tc>
      </w:tr>
    </w:tbl>
    <w:p>
      <w:pPr>
        <w:spacing w:line="400" w:lineRule="exact"/>
      </w:pPr>
    </w:p>
    <w:p/>
    <w:p>
      <w:pPr>
        <w:jc w:val="center"/>
      </w:pPr>
      <w:r>
        <w:rPr>
          <w:rFonts w:cs="仿宋_GB2312" w:hint="eastAsia"/>
        </w:rPr>
        <w:t>遂财建〔</w:t>
      </w:r>
      <w:r>
        <w:t>2017</w:t>
      </w:r>
      <w:r>
        <w:rPr>
          <w:rFonts w:cs="仿宋_GB2312" w:hint="eastAsia"/>
        </w:rPr>
        <w:t>〕</w:t>
      </w:r>
      <w:r>
        <w:t>50</w:t>
      </w:r>
      <w:r>
        <w:rPr>
          <w:rFonts w:cs="仿宋_GB2312" w:hint="eastAsia"/>
        </w:rPr>
        <w:t>号</w:t>
      </w:r>
    </w:p>
    <w:p>
      <w:pPr>
        <w:jc w:val="center"/>
      </w:pPr>
      <w:r>
        <mc:AlternateContent>
          <mc:Choice Requires="wps">
            <w:drawing>
              <wp:anchor distT="0" distB="0" distL="91438" distR="91438" simplePos="0" relativeHeight="13" behindDoc="0" locked="0" layoutInCell="1" hidden="0" allowOverlap="1">
                <wp:simplePos x="0" y="0"/>
                <wp:positionH relativeFrom="column">
                  <wp:posOffset>3175</wp:posOffset>
                </wp:positionH>
                <wp:positionV relativeFrom="paragraph">
                  <wp:posOffset>82549</wp:posOffset>
                </wp:positionV>
                <wp:extent cx="5618479" cy="0"/>
                <wp:effectExtent l="0" t="0" r="0" b="0"/>
                <wp:wrapNone/>
                <wp:docPr id="4" name="直线 4"/>
                <wp:cNvGraphicFramePr>
                  <a:graphicFrameLocks noChangeAspect="0"/>
                </wp:cNvGraphicFramePr>
                <a:graphic>
                  <a:graphicData uri="http://schemas.microsoft.com/office/word/2010/wordprocessingShape">
                    <wps:wsp>
                      <wps:cNvSpPr/>
                      <wps:spPr>
                        <a:xfrm rot="0">
                          <a:off x="0" y="0"/>
                          <a:ext cx="5618479" cy="0"/>
                        </a:xfrm>
                        <a:prstGeom prst="line"/>
                        <a:noFill/>
                        <a:ln w="25400" cmpd="sng">
                          <a:solidFill>
                            <a:srgbClr val="FF0000"/>
                          </a:solidFill>
                          <a:prstDash val="solid"/>
                          <a:miter/>
                        </a:ln>
                      </wps:spPr>
                      <wps:bodyPr vert="horz" wrap="square" lIns="91440" tIns="45720" rIns="91440" bIns="45720" anchor="t" anchorCtr="0" upright="1">
                        <a:noAutofit/>
                      </wps:bodyPr>
                    </wps:wsp>
                  </a:graphicData>
                </a:graphic>
              </wp:anchor>
            </w:drawing>
          </mc:Choice>
          <mc:Fallback>
            <w:pict>
              <v:line type="#_x0000_t20" id="直线 5" o:spid="_x0000_s5" from="0.25pt,6.499998pt" to="442.65pt,6.5pt" filled="f" stroked="t" strokeweight="2.0pt" style="position:absolute;&#13;&#10;z-index:13;&#13;&#10;mso-position-horizontal:absolute;&#13;&#10;mso-position-vertical:absolute;&#13;&#10;mso-wrap-distance-left:7.19989pt;&#13;&#10;mso-wrap-distance-right:7.19989pt;">
                <v:stroke color="FF0000"/>
              </v:line>
            </w:pict>
          </mc:Fallback>
        </mc:AlternateContent>
      </w:r>
    </w:p>
    <w:p/>
    <w:p>
      <w:pPr>
        <w:spacing w:line="62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遂宁市财政局</w:t>
      </w:r>
      <w:r>
        <w:rPr>
          <w:rFonts w:ascii="方正小标宋简体" w:eastAsia="方正小标宋简体" w:cs="方正小标宋简体"/>
          <w:sz w:val="44"/>
          <w:szCs w:val="44"/>
        </w:rPr>
        <w:t xml:space="preserve">  </w:t>
      </w:r>
      <w:r>
        <w:rPr>
          <w:rFonts w:ascii="方正小标宋简体" w:eastAsia="方正小标宋简体" w:cs="方正小标宋简体" w:hint="eastAsia"/>
          <w:sz w:val="44"/>
          <w:szCs w:val="44"/>
        </w:rPr>
        <w:t>遂宁市环境保护局关于</w:t>
      </w:r>
    </w:p>
    <w:p>
      <w:pPr>
        <w:spacing w:line="62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印发《遂宁市大气污染防治专项资金</w:t>
      </w:r>
    </w:p>
    <w:p>
      <w:pPr>
        <w:spacing w:line="62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管理办法》的通知</w:t>
      </w:r>
    </w:p>
    <w:p>
      <w:pPr>
        <w:spacing w:line="500" w:lineRule="exact"/>
      </w:pPr>
    </w:p>
    <w:p>
      <w:pPr>
        <w:spacing w:line="500" w:lineRule="exact"/>
      </w:pPr>
      <w:r>
        <w:rPr>
          <w:rFonts w:cs="仿宋_GB2312" w:hint="eastAsia"/>
        </w:rPr>
        <w:t>各县（区）财政局、环境保护局，市直园区有关部门：</w:t>
      </w:r>
    </w:p>
    <w:p>
      <w:pPr>
        <w:spacing w:line="500" w:lineRule="exact"/>
        <w:ind w:firstLineChars="200" w:firstLine="631"/>
      </w:pPr>
      <w:r>
        <w:rPr>
          <w:rFonts w:cs="仿宋_GB2312" w:hint="eastAsia"/>
        </w:rPr>
        <w:t>为切实加强我市大气污染防治工作，提高环境保护资金使用效益，市财政局、市环境保护局制定了《遂宁市大气污染防治专项资金管理办法》，现印发你们，请遵照执行。</w:t>
      </w:r>
    </w:p>
    <w:p>
      <w:pPr>
        <w:spacing w:line="520" w:lineRule="exact"/>
        <w:ind w:firstLineChars="200" w:firstLine="631"/>
      </w:pPr>
    </w:p>
    <w:p>
      <w:pPr>
        <w:spacing w:line="520" w:lineRule="exact"/>
        <w:ind w:firstLineChars="200" w:firstLine="631"/>
      </w:pPr>
    </w:p>
    <w:p>
      <w:pPr>
        <w:spacing w:line="520" w:lineRule="exact"/>
        <w:ind w:firstLineChars="200" w:firstLine="631"/>
      </w:pPr>
    </w:p>
    <w:p>
      <w:pPr>
        <w:spacing w:line="520" w:lineRule="exact"/>
        <w:jc w:val="center"/>
      </w:pPr>
      <w:r>
        <w:rPr>
          <w:rFonts w:cs="仿宋_GB2312" w:hint="eastAsia"/>
        </w:rPr>
        <w:t>遂宁市财政局</w:t>
      </w:r>
      <w:r>
        <w:tab/>
        <w:t xml:space="preserve">         </w:t>
      </w:r>
      <w:r>
        <w:rPr>
          <w:rFonts w:cs="仿宋_GB2312" w:hint="eastAsia"/>
        </w:rPr>
        <w:t>遂宁市环境保护局</w:t>
      </w:r>
    </w:p>
    <w:p>
      <w:pPr>
        <w:spacing w:line="520" w:lineRule="exact"/>
        <w:ind w:firstLineChars="1200" w:firstLine="3790"/>
        <w:jc w:val="center"/>
      </w:pPr>
      <w:r>
        <w:t>2017</w:t>
      </w:r>
      <w:r>
        <w:rPr>
          <w:rFonts w:cs="仿宋_GB2312" w:hint="eastAsia"/>
        </w:rPr>
        <w:t>年</w:t>
      </w:r>
      <w:r>
        <w:t>7</w:t>
      </w:r>
      <w:r>
        <w:rPr>
          <w:rFonts w:cs="仿宋_GB2312" w:hint="eastAsia"/>
        </w:rPr>
        <w:t>月</w:t>
      </w:r>
      <w:r>
        <w:t>24</w:t>
      </w:r>
      <w:r>
        <w:rPr>
          <w:rFonts w:cs="仿宋_GB2312" w:hint="eastAsia"/>
        </w:rPr>
        <w:t>日</w:t>
      </w:r>
    </w:p>
    <w:p>
      <w:pPr>
        <w:ind w:firstLineChars="1200" w:firstLine="3790"/>
        <w:jc w:val="center"/>
        <w:sectPr>
          <w:headerReference w:type="default" r:id="rId2"/>
          <w:headerReference w:type="even" r:id="rId3"/>
          <w:headerReference w:type="first" r:id="rId4"/>
          <w:footerReference w:type="default" r:id="rId5"/>
          <w:pgSz w:w="11906" w:h="16838"/>
          <w:pgMar w:top="2098" w:right="1474" w:bottom="1984" w:left="1587" w:header="851" w:footer="1701" w:gutter="0"/>
          <w:pgNumType w:fmt="numberInDash"/>
          <w:docGrid w:type="linesAndChars" w:linePitch="579" w:charSpace="-842"/>
        </w:sectPr>
      </w:pPr>
    </w:p>
    <w:p/>
    <w:p>
      <w:pPr>
        <w:spacing w:line="70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遂宁市大气污染防治专项资金管理办法</w:t>
      </w:r>
    </w:p>
    <w:p/>
    <w:p>
      <w:pPr>
        <w:jc w:val="center"/>
        <w:rPr>
          <w:rFonts w:ascii="黑体" w:eastAsia="黑体"/>
        </w:rPr>
      </w:pPr>
      <w:r>
        <w:rPr>
          <w:rFonts w:ascii="黑体" w:eastAsia="黑体" w:cs="黑体" w:hint="eastAsia"/>
        </w:rPr>
        <w:t>第一章</w:t>
      </w:r>
      <w:r>
        <w:rPr>
          <w:rFonts w:ascii="黑体" w:eastAsia="黑体" w:cs="黑体"/>
        </w:rPr>
        <w:t xml:space="preserve"> </w:t>
      </w:r>
      <w:r>
        <w:rPr>
          <w:rFonts w:ascii="黑体" w:eastAsia="黑体" w:cs="黑体" w:hint="eastAsia"/>
        </w:rPr>
        <w:t>总</w:t>
      </w:r>
      <w:r>
        <w:rPr>
          <w:rFonts w:ascii="黑体" w:eastAsia="黑体" w:cs="黑体"/>
        </w:rPr>
        <w:t xml:space="preserve"> </w:t>
      </w:r>
      <w:r>
        <w:rPr>
          <w:rFonts w:ascii="黑体" w:eastAsia="黑体" w:cs="黑体" w:hint="eastAsia"/>
        </w:rPr>
        <w:t>则</w:t>
      </w:r>
    </w:p>
    <w:p>
      <w:pPr>
        <w:ind w:firstLineChars="200" w:firstLine="631"/>
      </w:pPr>
      <w:r>
        <w:rPr>
          <w:rFonts w:ascii="黑体" w:eastAsia="黑体" w:cs="黑体" w:hint="eastAsia"/>
        </w:rPr>
        <w:t>第一条</w:t>
      </w:r>
      <w:r>
        <w:t xml:space="preserve">  </w:t>
      </w:r>
      <w:r>
        <w:rPr>
          <w:rFonts w:cs="仿宋_GB2312" w:hint="eastAsia"/>
        </w:rPr>
        <w:t>为规范我市大气污染防治专项资金（以下简称</w:t>
      </w:r>
      <w:r>
        <w:t>“</w:t>
      </w:r>
      <w:r>
        <w:rPr>
          <w:rFonts w:cs="仿宋_GB2312" w:hint="eastAsia"/>
        </w:rPr>
        <w:t>专项资金</w:t>
      </w:r>
      <w:r>
        <w:t>”</w:t>
      </w:r>
      <w:r>
        <w:rPr>
          <w:rFonts w:cs="仿宋_GB2312" w:hint="eastAsia"/>
        </w:rPr>
        <w:t>）管理，提高财政资金使用效益，根据《中华人民共和国预算法》《中华人民共和国环境保护法》《中华人民共和国大气污染防治法》和《遂宁市大气污染防治行动计划》等有关规定，结合我市环境保护实际，制定本办法。</w:t>
      </w:r>
    </w:p>
    <w:p>
      <w:pPr>
        <w:ind w:firstLineChars="200" w:firstLine="631"/>
      </w:pPr>
      <w:r>
        <w:rPr>
          <w:rFonts w:ascii="黑体" w:eastAsia="黑体" w:cs="黑体" w:hint="eastAsia"/>
        </w:rPr>
        <w:t>第二条</w:t>
      </w:r>
      <w:r>
        <w:t xml:space="preserve">  </w:t>
      </w:r>
      <w:r>
        <w:rPr>
          <w:rFonts w:cs="仿宋_GB2312" w:hint="eastAsia"/>
        </w:rPr>
        <w:t>本办法所称的专项资金，是指由中、省、市财政预算安排的，专项用于全市大气污染防治的专项资金。</w:t>
      </w:r>
    </w:p>
    <w:p>
      <w:pPr>
        <w:ind w:firstLineChars="200" w:firstLine="631"/>
      </w:pPr>
      <w:r>
        <w:rPr>
          <w:rFonts w:ascii="黑体" w:eastAsia="黑体" w:cs="黑体" w:hint="eastAsia"/>
        </w:rPr>
        <w:t>第三条</w:t>
      </w:r>
      <w:r>
        <w:t xml:space="preserve">  </w:t>
      </w:r>
      <w:r>
        <w:rPr>
          <w:rFonts w:cs="仿宋_GB2312" w:hint="eastAsia"/>
        </w:rPr>
        <w:t>专项资金按照</w:t>
      </w:r>
      <w:r>
        <w:t>“</w:t>
      </w:r>
      <w:r>
        <w:rPr>
          <w:rFonts w:cs="仿宋_GB2312" w:hint="eastAsia"/>
        </w:rPr>
        <w:t>公开透明、突出重点、引导带动、注重绩效</w:t>
      </w:r>
      <w:r>
        <w:t>”</w:t>
      </w:r>
      <w:r>
        <w:rPr>
          <w:rFonts w:cs="仿宋_GB2312" w:hint="eastAsia"/>
        </w:rPr>
        <w:t>的原则进行分配。</w:t>
      </w:r>
    </w:p>
    <w:p>
      <w:pPr>
        <w:ind w:firstLineChars="200" w:firstLine="631"/>
      </w:pPr>
      <w:r>
        <w:rPr>
          <w:rFonts w:ascii="黑体" w:eastAsia="黑体" w:cs="黑体" w:hint="eastAsia"/>
        </w:rPr>
        <w:t>第四条</w:t>
      </w:r>
      <w:r>
        <w:t xml:space="preserve">  </w:t>
      </w:r>
      <w:r>
        <w:rPr>
          <w:rFonts w:cs="仿宋_GB2312" w:hint="eastAsia"/>
        </w:rPr>
        <w:t>专项资金主要采取</w:t>
      </w:r>
      <w:r>
        <w:t>“</w:t>
      </w:r>
      <w:r>
        <w:rPr>
          <w:rFonts w:cs="仿宋_GB2312" w:hint="eastAsia"/>
        </w:rPr>
        <w:t>竞争立项</w:t>
      </w:r>
      <w:r>
        <w:t>”</w:t>
      </w:r>
      <w:r>
        <w:rPr>
          <w:rFonts w:cs="仿宋_GB2312" w:hint="eastAsia"/>
        </w:rPr>
        <w:t>方式安排使用资金。同时建立</w:t>
      </w:r>
      <w:r>
        <w:t>“</w:t>
      </w:r>
      <w:r>
        <w:rPr>
          <w:rFonts w:cs="仿宋_GB2312" w:hint="eastAsia"/>
        </w:rPr>
        <w:t>环保定向财力转移支付</w:t>
      </w:r>
      <w:r>
        <w:t>”</w:t>
      </w:r>
      <w:r>
        <w:rPr>
          <w:rFonts w:cs="仿宋_GB2312" w:hint="eastAsia"/>
        </w:rPr>
        <w:t>机制，对各县（区）、园区开展大气污染防治进行激励约束。</w:t>
      </w:r>
    </w:p>
    <w:p>
      <w:pPr>
        <w:jc w:val="center"/>
        <w:rPr>
          <w:rFonts w:ascii="黑体" w:eastAsia="黑体"/>
        </w:rPr>
      </w:pPr>
      <w:r>
        <w:rPr>
          <w:rFonts w:ascii="黑体" w:eastAsia="黑体" w:cs="黑体" w:hint="eastAsia"/>
        </w:rPr>
        <w:t>第二章</w:t>
      </w:r>
      <w:r>
        <w:rPr>
          <w:rFonts w:ascii="黑体" w:eastAsia="黑体" w:cs="黑体"/>
        </w:rPr>
        <w:t xml:space="preserve">  </w:t>
      </w:r>
      <w:r>
        <w:rPr>
          <w:rFonts w:ascii="黑体" w:eastAsia="黑体" w:cs="黑体" w:hint="eastAsia"/>
        </w:rPr>
        <w:t>支持范围</w:t>
      </w:r>
    </w:p>
    <w:p>
      <w:pPr>
        <w:ind w:firstLineChars="200" w:firstLine="631"/>
      </w:pPr>
      <w:r>
        <w:rPr>
          <w:rFonts w:ascii="黑体" w:eastAsia="黑体" w:cs="黑体" w:hint="eastAsia"/>
        </w:rPr>
        <w:t>第五条</w:t>
      </w:r>
      <w:r>
        <w:t xml:space="preserve">  </w:t>
      </w:r>
      <w:r>
        <w:rPr>
          <w:rFonts w:cs="仿宋_GB2312" w:hint="eastAsia"/>
        </w:rPr>
        <w:t>专项资金适用以下范围：</w:t>
      </w:r>
    </w:p>
    <w:p>
      <w:pPr>
        <w:ind w:firstLineChars="200" w:firstLine="631"/>
      </w:pPr>
      <w:r>
        <w:rPr>
          <w:rFonts w:cs="仿宋_GB2312" w:hint="eastAsia"/>
        </w:rPr>
        <w:t>（一）区域性污染治理；</w:t>
      </w:r>
    </w:p>
    <w:p>
      <w:pPr>
        <w:ind w:firstLineChars="200" w:firstLine="631"/>
      </w:pPr>
      <w:r>
        <w:rPr>
          <w:rFonts w:cs="仿宋_GB2312" w:hint="eastAsia"/>
        </w:rPr>
        <w:t>（二）总量减排等重点领域、行业污染治理</w:t>
      </w:r>
      <w:r>
        <w:t>;</w:t>
      </w:r>
    </w:p>
    <w:p>
      <w:pPr>
        <w:ind w:firstLineChars="200" w:firstLine="631"/>
      </w:pPr>
      <w:r>
        <w:rPr>
          <w:rFonts w:cs="仿宋_GB2312" w:hint="eastAsia"/>
        </w:rPr>
        <w:t>（三）环保科技与产业发展；</w:t>
      </w:r>
    </w:p>
    <w:p>
      <w:pPr>
        <w:ind w:firstLineChars="200" w:firstLine="631"/>
      </w:pPr>
      <w:r>
        <w:rPr>
          <w:rFonts w:cs="仿宋_GB2312" w:hint="eastAsia"/>
        </w:rPr>
        <w:t>（四）按照中、省规定需要市级财政配套的项目；</w:t>
      </w:r>
    </w:p>
    <w:p>
      <w:pPr>
        <w:ind w:firstLineChars="200" w:firstLine="631"/>
      </w:pPr>
      <w:r>
        <w:rPr>
          <w:rFonts w:cs="仿宋_GB2312" w:hint="eastAsia"/>
        </w:rPr>
        <w:t>（五）根据中、省、市政府有关政策和部署，市环境保护局和市财政局共同研究确定的其他环境保护项目。</w:t>
      </w:r>
    </w:p>
    <w:p>
      <w:pPr>
        <w:jc w:val="center"/>
        <w:rPr>
          <w:rFonts w:ascii="黑体" w:eastAsia="黑体"/>
        </w:rPr>
      </w:pPr>
      <w:r>
        <w:rPr>
          <w:rFonts w:ascii="黑体" w:eastAsia="黑体" w:cs="黑体" w:hint="eastAsia"/>
        </w:rPr>
        <w:t>第三章</w:t>
      </w:r>
      <w:r>
        <w:rPr>
          <w:rFonts w:ascii="黑体" w:eastAsia="黑体" w:cs="黑体"/>
        </w:rPr>
        <w:t xml:space="preserve">  </w:t>
      </w:r>
      <w:r>
        <w:rPr>
          <w:rFonts w:ascii="黑体" w:eastAsia="黑体" w:cs="黑体" w:hint="eastAsia"/>
        </w:rPr>
        <w:t>项目管理</w:t>
      </w:r>
    </w:p>
    <w:p>
      <w:pPr>
        <w:ind w:firstLineChars="200" w:firstLine="631"/>
      </w:pPr>
      <w:r>
        <w:rPr>
          <w:rFonts w:ascii="黑体" w:eastAsia="黑体" w:cs="黑体" w:hint="eastAsia"/>
        </w:rPr>
        <w:t>第六条</w:t>
      </w:r>
      <w:r>
        <w:t xml:space="preserve">  </w:t>
      </w:r>
      <w:r>
        <w:rPr>
          <w:rFonts w:cs="仿宋_GB2312" w:hint="eastAsia"/>
        </w:rPr>
        <w:t>市环境保护局会同市财政局结合工作计划下发大气污染治理重点任务。</w:t>
      </w:r>
    </w:p>
    <w:p>
      <w:pPr>
        <w:ind w:firstLineChars="200" w:firstLine="631"/>
      </w:pPr>
      <w:r>
        <w:rPr>
          <w:rFonts w:cs="仿宋_GB2312" w:hint="eastAsia"/>
        </w:rPr>
        <w:t>大气污染治理重点任务主要包括：重点区域大气污染治理、重点领域（行业）大气污染治理和重点大气污染治理项目。</w:t>
      </w:r>
    </w:p>
    <w:p>
      <w:pPr>
        <w:ind w:firstLineChars="200" w:firstLine="631"/>
      </w:pPr>
      <w:r>
        <w:rPr>
          <w:rFonts w:cs="仿宋_GB2312" w:hint="eastAsia"/>
        </w:rPr>
        <w:t>（一）重点区域大气污染治理是指一个区域（控制单元）的大气污染综合治理。</w:t>
      </w:r>
    </w:p>
    <w:p>
      <w:pPr>
        <w:ind w:firstLineChars="200" w:firstLine="631"/>
      </w:pPr>
      <w:r>
        <w:rPr>
          <w:rFonts w:cs="仿宋_GB2312" w:hint="eastAsia"/>
        </w:rPr>
        <w:t>（二）重点领域（行业）大气污染治理是指某个领域或者行业的专项大气污染治理。</w:t>
      </w:r>
    </w:p>
    <w:p>
      <w:pPr>
        <w:ind w:firstLineChars="200" w:firstLine="631"/>
      </w:pPr>
      <w:r>
        <w:rPr>
          <w:rFonts w:cs="仿宋_GB2312" w:hint="eastAsia"/>
        </w:rPr>
        <w:t>（三）重点大气污染治理项目是指对全市环境保护有重大影响的特定大气污染治理项目。</w:t>
      </w:r>
    </w:p>
    <w:p>
      <w:pPr>
        <w:ind w:firstLineChars="200" w:firstLine="631"/>
      </w:pPr>
      <w:r>
        <w:rPr>
          <w:rFonts w:ascii="黑体" w:eastAsia="黑体" w:cs="黑体" w:hint="eastAsia"/>
        </w:rPr>
        <w:t>第七条</w:t>
      </w:r>
      <w:r>
        <w:t xml:space="preserve">  </w:t>
      </w:r>
      <w:r>
        <w:rPr>
          <w:rFonts w:cs="仿宋_GB2312" w:hint="eastAsia"/>
        </w:rPr>
        <w:t>各县（区）环境保护局、市直园区有关部门按照《四川省环境保护厅</w:t>
      </w:r>
      <w:r>
        <w:t xml:space="preserve"> </w:t>
      </w:r>
      <w:r>
        <w:rPr>
          <w:rFonts w:cs="仿宋_GB2312" w:hint="eastAsia"/>
        </w:rPr>
        <w:t>四川省财政厅关于印发〈四川省环境保护项目申报指南（</w:t>
      </w:r>
      <w:r>
        <w:t>2017—2020</w:t>
      </w:r>
      <w:r>
        <w:rPr>
          <w:rFonts w:cs="仿宋_GB2312" w:hint="eastAsia"/>
        </w:rPr>
        <w:t>）〉的通知》（川环发〔</w:t>
      </w:r>
      <w:r>
        <w:t>2016</w:t>
      </w:r>
      <w:r>
        <w:rPr>
          <w:rFonts w:cs="仿宋_GB2312" w:hint="eastAsia"/>
        </w:rPr>
        <w:t>〕</w:t>
      </w:r>
      <w:r>
        <w:t>83</w:t>
      </w:r>
      <w:r>
        <w:rPr>
          <w:rFonts w:cs="仿宋_GB2312" w:hint="eastAsia"/>
        </w:rPr>
        <w:t>号）要求，负责编制大气污染防治项目申报方案或项目申报清单。</w:t>
      </w:r>
    </w:p>
    <w:p>
      <w:pPr>
        <w:ind w:firstLineChars="200" w:firstLine="631"/>
      </w:pPr>
      <w:r>
        <w:rPr>
          <w:rFonts w:ascii="黑体" w:eastAsia="黑体" w:cs="黑体" w:hint="eastAsia"/>
        </w:rPr>
        <w:t>第八条</w:t>
      </w:r>
      <w:r>
        <w:t xml:space="preserve">  </w:t>
      </w:r>
      <w:r>
        <w:rPr>
          <w:rFonts w:cs="仿宋_GB2312" w:hint="eastAsia"/>
        </w:rPr>
        <w:t>市环境保护局会同市财政局组织专家对项目申报方案进行审查，建立动态管理项目库，每年按照当年项目资金的一定规模，评审准备下一年度项目或方案。环保专家主要审查方案或项目的技术合理性，财务专家主要审查方案或项目的财务状况。</w:t>
      </w:r>
    </w:p>
    <w:p>
      <w:pPr>
        <w:jc w:val="center"/>
        <w:rPr>
          <w:rFonts w:ascii="黑体" w:eastAsia="黑体"/>
        </w:rPr>
      </w:pPr>
      <w:r>
        <w:rPr>
          <w:rFonts w:ascii="黑体" w:eastAsia="黑体" w:cs="黑体" w:hint="eastAsia"/>
        </w:rPr>
        <w:t>第四章</w:t>
      </w:r>
      <w:r>
        <w:rPr>
          <w:rFonts w:ascii="黑体" w:eastAsia="黑体" w:cs="黑体"/>
        </w:rPr>
        <w:t xml:space="preserve">  </w:t>
      </w:r>
      <w:r>
        <w:rPr>
          <w:rFonts w:ascii="黑体" w:eastAsia="黑体" w:cs="黑体" w:hint="eastAsia"/>
        </w:rPr>
        <w:t>资金拨付和监管</w:t>
      </w:r>
    </w:p>
    <w:p>
      <w:pPr>
        <w:ind w:firstLineChars="200" w:firstLine="631"/>
      </w:pPr>
      <w:r>
        <w:rPr>
          <w:rFonts w:ascii="黑体" w:eastAsia="黑体" w:cs="黑体" w:hint="eastAsia"/>
        </w:rPr>
        <w:t>第九条</w:t>
      </w:r>
      <w:r>
        <w:t xml:space="preserve">  </w:t>
      </w:r>
      <w:r>
        <w:rPr>
          <w:rFonts w:cs="仿宋_GB2312" w:hint="eastAsia"/>
        </w:rPr>
        <w:t>市财政局、市环境保护局根据评审意见提出资金分配方案报市政府审定后下达资金预算。</w:t>
      </w:r>
    </w:p>
    <w:p>
      <w:pPr>
        <w:ind w:firstLineChars="200" w:firstLine="631"/>
      </w:pPr>
      <w:r>
        <w:rPr>
          <w:rFonts w:ascii="黑体" w:eastAsia="黑体" w:cs="黑体" w:hint="eastAsia"/>
        </w:rPr>
        <w:t>第十条</w:t>
      </w:r>
      <w:r>
        <w:t xml:space="preserve">  </w:t>
      </w:r>
      <w:r>
        <w:rPr>
          <w:rFonts w:cs="仿宋_GB2312" w:hint="eastAsia"/>
        </w:rPr>
        <w:t>工程项目建设实施前，须编制项目实施方案（可委托第三方机构），明确项目建设背景、技术工艺路线和预期环境效益等重要内容。实施方案由市环境保护局组织专家</w:t>
      </w:r>
      <w:r>
        <w:t>,</w:t>
      </w:r>
      <w:r>
        <w:rPr>
          <w:rFonts w:cs="仿宋_GB2312" w:hint="eastAsia"/>
        </w:rPr>
        <w:t>县（区）环保部门、市直园区有关部门参与审查，实施方案审核通过后准予实施。项目建设完工后须编制工程竣工验收报告、工程竣工财务决算报告（补助资金超过</w:t>
      </w:r>
      <w:r>
        <w:t>100</w:t>
      </w:r>
      <w:r>
        <w:rPr>
          <w:rFonts w:cs="仿宋_GB2312" w:hint="eastAsia"/>
        </w:rPr>
        <w:t>万元以上的项目须附竣工财务决算审计报告、</w:t>
      </w:r>
      <w:r>
        <w:t>100</w:t>
      </w:r>
      <w:r>
        <w:rPr>
          <w:rFonts w:cs="仿宋_GB2312" w:hint="eastAsia"/>
        </w:rPr>
        <w:t>万元以下须附竣工财务决算报告），报市环境保护局、市财政局验收。</w:t>
      </w:r>
    </w:p>
    <w:p>
      <w:pPr>
        <w:ind w:firstLineChars="200" w:firstLine="631"/>
      </w:pPr>
      <w:r>
        <w:rPr>
          <w:rFonts w:ascii="黑体" w:eastAsia="黑体" w:cs="黑体" w:hint="eastAsia"/>
        </w:rPr>
        <w:t>第十一条</w:t>
      </w:r>
      <w:r>
        <w:t xml:space="preserve">  </w:t>
      </w:r>
      <w:r>
        <w:rPr>
          <w:rFonts w:cs="仿宋_GB2312" w:hint="eastAsia"/>
        </w:rPr>
        <w:t>各县（区）环境保护局、财政局，市直园区有关部门要切实加强资金监督管理，建立资金专帐核算，避免被挤占挪用，要加强项目实施过程监管，认真做好项目验收有关工作。燃煤锅炉淘汰（置换）、餐饮油烟治理项目原则上通过验收合格后一次性补助企业。工程建设项目原则上按照</w:t>
      </w:r>
      <w:r>
        <w:t>“20%</w:t>
      </w:r>
      <w:r>
        <w:rPr>
          <w:rFonts w:cs="仿宋_GB2312" w:hint="eastAsia"/>
        </w:rPr>
        <w:t>、</w:t>
      </w:r>
      <w:r>
        <w:t>50%</w:t>
      </w:r>
      <w:r>
        <w:rPr>
          <w:rFonts w:cs="仿宋_GB2312" w:hint="eastAsia"/>
        </w:rPr>
        <w:t>、</w:t>
      </w:r>
      <w:r>
        <w:t>30%”</w:t>
      </w:r>
      <w:r>
        <w:rPr>
          <w:rFonts w:cs="仿宋_GB2312" w:hint="eastAsia"/>
        </w:rPr>
        <w:t>资金比例拨付企业，即：项目实施前拨付企业</w:t>
      </w:r>
      <w:r>
        <w:t>20%</w:t>
      </w:r>
      <w:r>
        <w:rPr>
          <w:rFonts w:cs="仿宋_GB2312" w:hint="eastAsia"/>
        </w:rPr>
        <w:t>专项资金，用于项目实施方案编制等前期工作，项目实施进度达到</w:t>
      </w:r>
      <w:r>
        <w:t>70%</w:t>
      </w:r>
      <w:r>
        <w:rPr>
          <w:rFonts w:cs="仿宋_GB2312" w:hint="eastAsia"/>
        </w:rPr>
        <w:t>以上拨付企业</w:t>
      </w:r>
      <w:r>
        <w:t>50%</w:t>
      </w:r>
      <w:r>
        <w:rPr>
          <w:rFonts w:cs="仿宋_GB2312" w:hint="eastAsia"/>
        </w:rPr>
        <w:t>专项资金，项目完工并通过市环境保护局、市财政局验收合格后，拨付剩余</w:t>
      </w:r>
      <w:r>
        <w:t>30%</w:t>
      </w:r>
      <w:r>
        <w:rPr>
          <w:rFonts w:cs="仿宋_GB2312" w:hint="eastAsia"/>
        </w:rPr>
        <w:t>专项资金。对于建设进程滞后、未完成目标任务或存在问题的项目，适当扣减补助资金。</w:t>
      </w:r>
    </w:p>
    <w:p>
      <w:pPr>
        <w:ind w:firstLineChars="200" w:firstLine="631"/>
      </w:pPr>
      <w:r>
        <w:rPr>
          <w:rFonts w:ascii="黑体" w:eastAsia="黑体" w:cs="黑体" w:hint="eastAsia"/>
        </w:rPr>
        <w:t>第十二条</w:t>
      </w:r>
      <w:r>
        <w:t xml:space="preserve">  </w:t>
      </w:r>
      <w:r>
        <w:rPr>
          <w:rFonts w:cs="仿宋_GB2312" w:hint="eastAsia"/>
        </w:rPr>
        <w:t>各县（区）财政局、环境保护局及市直园区有关部门要认真开展项目绩效评价工作，并将绩效评价结果报市财政局、市环境保护局。市财政局、市环境保护局配合省财政、环境保护部门开展对各地绩效评价进行抽查，抽查结果与次年环境保护资金分配挂钩。</w:t>
      </w:r>
    </w:p>
    <w:p>
      <w:pPr>
        <w:ind w:firstLineChars="200" w:firstLine="631"/>
      </w:pPr>
      <w:r>
        <w:rPr>
          <w:rFonts w:ascii="黑体" w:eastAsia="黑体" w:cs="黑体" w:hint="eastAsia"/>
        </w:rPr>
        <w:t>第十三条</w:t>
      </w:r>
      <w:r>
        <w:t xml:space="preserve">  </w:t>
      </w:r>
      <w:r>
        <w:rPr>
          <w:rFonts w:cs="仿宋_GB2312" w:hint="eastAsia"/>
        </w:rPr>
        <w:t>专项资金专项用于大气污染防治，不得用于</w:t>
      </w:r>
      <w:r>
        <w:t>“</w:t>
      </w:r>
      <w:r>
        <w:rPr>
          <w:rFonts w:cs="仿宋_GB2312" w:hint="eastAsia"/>
        </w:rPr>
        <w:t>楼、堂、馆、所</w:t>
      </w:r>
      <w:r>
        <w:t>”</w:t>
      </w:r>
      <w:r>
        <w:rPr>
          <w:rFonts w:cs="仿宋_GB2312" w:hint="eastAsia"/>
        </w:rPr>
        <w:t>建设及发放职工工资、福利、奖金以及日常管理费等支出。</w:t>
      </w:r>
    </w:p>
    <w:p>
      <w:pPr>
        <w:ind w:firstLineChars="200" w:firstLine="631"/>
      </w:pPr>
      <w:r>
        <w:rPr>
          <w:rFonts w:ascii="黑体" w:eastAsia="黑体" w:cs="黑体" w:hint="eastAsia"/>
        </w:rPr>
        <w:t>第十四条</w:t>
      </w:r>
      <w:r>
        <w:t xml:space="preserve">  </w:t>
      </w:r>
      <w:r>
        <w:rPr>
          <w:rFonts w:cs="仿宋_GB2312" w:hint="eastAsia"/>
        </w:rPr>
        <w:t>专项资金使用应严格执行政府采购和招投标的相关规定。</w:t>
      </w:r>
    </w:p>
    <w:p>
      <w:pPr>
        <w:ind w:firstLineChars="200" w:firstLine="631"/>
      </w:pPr>
      <w:r>
        <w:rPr>
          <w:rFonts w:ascii="黑体" w:eastAsia="黑体" w:cs="黑体" w:hint="eastAsia"/>
        </w:rPr>
        <w:t>第十五条</w:t>
      </w:r>
      <w:r>
        <w:t xml:space="preserve">  </w:t>
      </w:r>
      <w:r>
        <w:rPr>
          <w:rFonts w:cs="仿宋_GB2312" w:hint="eastAsia"/>
        </w:rPr>
        <w:t>项目实施单位应严格按照实施方案组织项目实施，不得随意调整。因特殊原因确需调整的，需先报经市环境保护局、市财政局批准。</w:t>
      </w:r>
    </w:p>
    <w:p>
      <w:pPr>
        <w:ind w:firstLineChars="200" w:firstLine="631"/>
      </w:pPr>
      <w:r>
        <w:rPr>
          <w:rFonts w:ascii="黑体" w:eastAsia="黑体" w:cs="黑体" w:hint="eastAsia"/>
        </w:rPr>
        <w:t>第十六条</w:t>
      </w:r>
      <w:r>
        <w:t xml:space="preserve">  </w:t>
      </w:r>
      <w:r>
        <w:rPr>
          <w:rFonts w:cs="仿宋_GB2312" w:hint="eastAsia"/>
        </w:rPr>
        <w:t>对专项资金管理使用中违法违纪的，依照《财政违法行为处罚处分条例》（国务院令</w:t>
      </w:r>
      <w:r>
        <w:t>427</w:t>
      </w:r>
      <w:r>
        <w:rPr>
          <w:rFonts w:cs="仿宋_GB2312" w:hint="eastAsia"/>
        </w:rPr>
        <w:t>号）进行处理。</w:t>
      </w:r>
    </w:p>
    <w:p>
      <w:pPr>
        <w:jc w:val="center"/>
        <w:rPr>
          <w:rFonts w:ascii="黑体" w:eastAsia="黑体"/>
        </w:rPr>
      </w:pPr>
      <w:r>
        <w:rPr>
          <w:rFonts w:ascii="黑体" w:eastAsia="黑体" w:cs="黑体" w:hint="eastAsia"/>
        </w:rPr>
        <w:t>第五章</w:t>
      </w:r>
      <w:r>
        <w:rPr>
          <w:rFonts w:ascii="黑体" w:eastAsia="黑体" w:cs="黑体"/>
        </w:rPr>
        <w:t xml:space="preserve">  </w:t>
      </w:r>
      <w:r>
        <w:rPr>
          <w:rFonts w:ascii="黑体" w:eastAsia="黑体" w:cs="黑体" w:hint="eastAsia"/>
        </w:rPr>
        <w:t>附则</w:t>
      </w:r>
    </w:p>
    <w:p>
      <w:pPr>
        <w:ind w:firstLineChars="200" w:firstLine="631"/>
      </w:pPr>
      <w:r>
        <w:rPr>
          <w:rFonts w:ascii="黑体" w:eastAsia="黑体" w:cs="黑体" w:hint="eastAsia"/>
        </w:rPr>
        <w:t>第十七条</w:t>
      </w:r>
      <w:r>
        <w:t xml:space="preserve">  </w:t>
      </w:r>
      <w:r>
        <w:rPr>
          <w:rFonts w:cs="仿宋_GB2312" w:hint="eastAsia"/>
        </w:rPr>
        <w:t>本办法由遂宁市财政局、遂宁市环境保护局负责解释。</w:t>
      </w:r>
    </w:p>
    <w:p>
      <w:pPr>
        <w:ind w:firstLineChars="200" w:firstLine="631"/>
      </w:pPr>
      <w:r>
        <w:rPr>
          <w:rFonts w:ascii="黑体" w:eastAsia="黑体" w:cs="黑体" w:hint="eastAsia"/>
        </w:rPr>
        <w:t>第十八条</w:t>
      </w:r>
      <w:r>
        <w:t xml:space="preserve">  </w:t>
      </w:r>
      <w:r>
        <w:rPr>
          <w:rFonts w:cs="仿宋_GB2312" w:hint="eastAsia"/>
        </w:rPr>
        <w:t>本办法自发文之日起执行，有效期</w:t>
      </w:r>
      <w:r>
        <w:t>5</w:t>
      </w:r>
      <w:r>
        <w:rPr>
          <w:rFonts w:cs="仿宋_GB2312" w:hint="eastAsia"/>
        </w:rPr>
        <w:t>年。</w:t>
      </w:r>
      <w:bookmarkStart w:id="0" w:name="_GoBack"/>
      <w:bookmarkEnd w:id="0"/>
    </w:p>
    <w:p>
      <w:pPr>
        <w:ind w:firstLineChars="200" w:firstLine="631"/>
      </w:pPr>
      <w:r>
        <w:br w:type="page"/>
      </w: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leftChars="100" w:left="315" w:rightChars="100" w:right="315"/>
        <w:jc w:val="center"/>
        <w:rPr>
          <w:sz w:val="28"/>
          <w:szCs w:val="28"/>
        </w:rPr>
      </w:pPr>
      <w:r>
        <mc:AlternateContent>
          <mc:Choice Requires="wps">
            <w:drawing>
              <wp:anchor distT="0" distB="0" distL="91438" distR="91438" simplePos="0" relativeHeight="15" behindDoc="0" locked="0" layoutInCell="1" hidden="0" allowOverlap="1">
                <wp:simplePos x="0" y="0"/>
                <wp:positionH relativeFrom="column">
                  <wp:posOffset>0</wp:posOffset>
                </wp:positionH>
                <wp:positionV relativeFrom="paragraph">
                  <wp:posOffset>0</wp:posOffset>
                </wp:positionV>
                <wp:extent cx="5618479" cy="0"/>
                <wp:effectExtent l="0" t="0" r="0" b="0"/>
                <wp:wrapNone/>
                <wp:docPr id="6" name="直线 6"/>
                <wp:cNvGraphicFramePr>
                  <a:graphicFrameLocks noChangeAspect="0"/>
                </wp:cNvGraphicFramePr>
                <a:graphic>
                  <a:graphicData uri="http://schemas.microsoft.com/office/word/2010/wordprocessingShape">
                    <wps:wsp>
                      <wps:cNvSpPr/>
                      <wps:spPr>
                        <a:xfrm rot="0">
                          <a:off x="0" y="0"/>
                          <a:ext cx="5618479" cy="0"/>
                        </a:xfrm>
                        <a:prstGeom prst="line"/>
                        <a:noFill/>
                        <a:ln w="9525"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type="#_x0000_t20" id="直线 7" o:spid="_x0000_s7" from="0.0pt,0.0pt" to="442.4pt,0.0pt" filled="f" stroked="t" style="position:absolute;&#13;&#10;z-index:15;&#13;&#10;mso-position-horizontal:absolute;&#13;&#10;mso-position-vertical:absolute;&#13;&#10;mso-wrap-distance-left:7.19989pt;&#13;&#10;mso-wrap-distance-right:7.19989pt;">
                <v:stroke color="000000"/>
              </v:line>
            </w:pict>
          </mc:Fallback>
        </mc:AlternateContent>
      </w:r>
      <w:r>
        <mc:AlternateContent>
          <mc:Choice Requires="wps">
            <w:drawing>
              <wp:anchor distT="0" distB="0" distL="91438" distR="91438" simplePos="0" relativeHeight="14" behindDoc="0" locked="0" layoutInCell="1" hidden="0" allowOverlap="1">
                <wp:simplePos x="0" y="0"/>
                <wp:positionH relativeFrom="column">
                  <wp:posOffset>0</wp:posOffset>
                </wp:positionH>
                <wp:positionV relativeFrom="paragraph">
                  <wp:posOffset>367665</wp:posOffset>
                </wp:positionV>
                <wp:extent cx="5618479" cy="0"/>
                <wp:effectExtent l="0" t="0" r="0" b="0"/>
                <wp:wrapNone/>
                <wp:docPr id="8" name="直线 8"/>
                <wp:cNvGraphicFramePr>
                  <a:graphicFrameLocks noChangeAspect="0"/>
                </wp:cNvGraphicFramePr>
                <a:graphic>
                  <a:graphicData uri="http://schemas.microsoft.com/office/word/2010/wordprocessingShape">
                    <wps:wsp>
                      <wps:cNvSpPr/>
                      <wps:spPr>
                        <a:xfrm rot="0">
                          <a:off x="0" y="0"/>
                          <a:ext cx="5618479" cy="0"/>
                        </a:xfrm>
                        <a:prstGeom prst="line"/>
                        <a:noFill/>
                        <a:ln w="9525"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type="#_x0000_t20" id="直线 9" o:spid="_x0000_s9" from="0.0pt,28.95pt" to="442.4pt,28.95pt" filled="f" stroked="t" style="position:absolute;&#13;&#10;z-index:14;&#13;&#10;mso-position-horizontal:absolute;&#13;&#10;mso-position-vertical:absolute;&#13;&#10;mso-wrap-distance-left:7.19989pt;&#13;&#10;mso-wrap-distance-right:7.19989pt;">
                <v:stroke color="000000"/>
              </v:line>
            </w:pict>
          </mc:Fallback>
        </mc:AlternateContent>
      </w:r>
      <w:r>
        <w:rPr>
          <w:rFonts w:cs="仿宋_GB2312" w:hint="eastAsia"/>
          <w:sz w:val="28"/>
          <w:szCs w:val="28"/>
        </w:rPr>
        <w:t>遂宁市财政局办公室</w:t>
      </w:r>
      <w:r>
        <w:rPr>
          <w:sz w:val="28"/>
          <w:szCs w:val="28"/>
        </w:rPr>
        <w:t xml:space="preserve">                      2017</w:t>
      </w:r>
      <w:r>
        <w:rPr>
          <w:rFonts w:cs="仿宋_GB2312" w:hint="eastAsia"/>
          <w:sz w:val="28"/>
          <w:szCs w:val="28"/>
        </w:rPr>
        <w:t>年</w:t>
      </w:r>
      <w:r>
        <w:rPr>
          <w:sz w:val="28"/>
          <w:szCs w:val="28"/>
        </w:rPr>
        <w:t>7</w:t>
      </w:r>
      <w:r>
        <w:rPr>
          <w:rFonts w:cs="仿宋_GB2312" w:hint="eastAsia"/>
          <w:sz w:val="28"/>
          <w:szCs w:val="28"/>
        </w:rPr>
        <w:t>月</w:t>
      </w:r>
      <w:r>
        <w:rPr>
          <w:sz w:val="28"/>
          <w:szCs w:val="28"/>
        </w:rPr>
        <w:t>24</w:t>
      </w:r>
      <w:r>
        <w:rPr>
          <w:rFonts w:cs="仿宋_GB2312" w:hint="eastAsia"/>
          <w:sz w:val="28"/>
          <w:szCs w:val="28"/>
        </w:rPr>
        <w:t>日印发</w:t>
      </w:r>
    </w:p>
    <w:sectPr>
      <w:pgSz w:w="11906" w:h="16838"/>
      <w:pgMar w:top="2098" w:right="1474" w:bottom="1984" w:left="1587" w:header="851" w:footer="1701" w:gutter="0"/>
      <w:pgNumType w:fmt="numberInDash"/>
      <w:docGrid w:type="linesAndChars" w:linePitch="579" w:charSpace="-842"/>
    </w:sectPr>
  </w:body>
</w:document>
</file>

<file path=word/fontTable.xml><?xml version="1.0" encoding="utf-8"?>
<w:fonts xmlns:w="http://schemas.openxmlformats.org/wordprocessingml/2006/main" xmlns:r="http://schemas.openxmlformats.org/officeDocument/2006/relationships">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variable"/>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5"/>
      <w:framePr w:w="0" w:hRule="auto" w:wrap="notBeside" w:vAnchor="text" w:hAnchor="margin" w:xAlign="outside" w:y="1" w:anchorLock="0"/>
      <w:tabs>
        <w:tab w:val="center" w:pos="4153"/>
        <w:tab w:val="right" w:pos="8306"/>
      </w:tabs>
      <w:ind w:leftChars="100" w:left="320" w:rightChars="100" w:right="320"/>
      <w:rPr>
        <w:rStyle w:val="17"/>
        <w:rFonts w:ascii="宋体" w:eastAsia="宋体"/>
        <w:sz w:val="28"/>
        <w:szCs w:val="28"/>
      </w:rPr>
    </w:pPr>
    <w:r>
      <w:rPr>
        <w:rStyle w:val="17"/>
        <w:rFonts w:ascii="宋体" w:eastAsia="宋体" w:cs="宋体"/>
        <w:sz w:val="28"/>
        <w:szCs w:val="28"/>
      </w:rPr>
      <w:fldChar w:fldCharType="begin"/>
    </w:r>
    <w:r>
      <w:rPr>
        <w:rStyle w:val="17"/>
        <w:rFonts w:ascii="宋体" w:eastAsia="宋体" w:cs="宋体"/>
        <w:sz w:val="28"/>
        <w:szCs w:val="28"/>
      </w:rPr>
      <w:instrText xml:space="preserve">PAGE  </w:instrText>
    </w:r>
    <w:r>
      <w:rPr>
        <w:rStyle w:val="17"/>
        <w:rFonts w:ascii="宋体" w:eastAsia="宋体" w:cs="宋体"/>
        <w:sz w:val="28"/>
        <w:szCs w:val="28"/>
      </w:rPr>
      <w:fldChar w:fldCharType="separate"/>
    </w:r>
    <w:r>
      <w:rPr>
        <w:rStyle w:val="17"/>
        <w:rFonts w:ascii="宋体" w:eastAsia="宋体" w:cs="宋体"/>
        <w:sz w:val="28"/>
        <w:szCs w:val="28"/>
      </w:rPr>
      <w:t>- 2 -</w:t>
    </w:r>
    <w:r>
      <w:rPr>
        <w:rStyle w:val="17"/>
        <w:rFonts w:ascii="宋体" w:eastAsia="宋体" w:cs="宋体"/>
        <w:sz w:val="28"/>
        <w:szCs w:val="28"/>
      </w:rPr>
      <w:fldChar w:fldCharType="end"/>
    </w:r>
  </w:p>
  <w:p>
    <w:pPr>
      <w:pStyle w:val="15"/>
      <w:tabs>
        <w:tab w:val="center" w:pos="4153"/>
        <w:tab w:val="right" w:pos="8306"/>
      </w:tabs>
      <w:ind w:right="360" w:firstLine="360"/>
      <w:jc w:val="center"/>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6"/>
      <w:pBdr>
        <w:top w:val="none" w:sz="0" w:space="0" w:color="auto"/>
        <w:left w:val="none" w:sz="0" w:space="0" w:color="auto"/>
        <w:bottom w:val="none" w:sz="0" w:space="0" w:color="auto"/>
        <w:right w:val="none" w:sz="0" w:space="0" w:color="auto"/>
      </w:pBdr>
      <w:tabs>
        <w:tab w:val="center" w:pos="4153"/>
        <w:tab w:val="right" w:pos="8306"/>
      </w:tabs>
    </w:pP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6"/>
      <w:pBdr>
        <w:top w:val="none" w:sz="0" w:space="0" w:color="auto"/>
        <w:left w:val="none" w:sz="0" w:space="0" w:color="auto"/>
        <w:bottom w:val="none" w:sz="0" w:space="0" w:color="auto"/>
        <w:right w:val="none" w:sz="0" w:space="0" w:color="auto"/>
      </w:pBdr>
      <w:tabs>
        <w:tab w:val="center" w:pos="4153"/>
        <w:tab w:val="right" w:pos="8306"/>
      </w:tabs>
    </w:pPr>
  </w:p>
</w:hdr>
</file>

<file path=word/header3.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6"/>
      <w:pBdr>
        <w:top w:val="none" w:sz="0" w:space="0" w:color="auto"/>
        <w:left w:val="none" w:sz="0" w:space="0" w:color="auto"/>
        <w:bottom w:val="none" w:sz="0" w:space="0" w:color="auto"/>
        <w:right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mirrorMargins/>
  <w:drawingGridHorizontalSpacing w:val="158"/>
  <w:drawingGridVerticalSpacing w:val="579"/>
  <w:displayHorizontalDrawingGridEvery w:val="0"/>
  <w:displayVerticalDrawingGridEvery w:val="1"/>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仿宋_GB2312" w:cs="Times New Roman" w:hAnsi="Times New Roman"/>
      <w:kern w:val="2"/>
      <w:sz w:val="32"/>
      <w:szCs w:val="32"/>
      <w:lang w:val="en-US" w:eastAsia="zh-CN" w:bidi="ar-SA"/>
    </w:rPr>
  </w:style>
  <w:style w:type="character" w:default="1" w:styleId="10">
    <w:name w:val="Default Paragraph Font"/>
  </w:style>
  <w:style w:type="paragraph" w:styleId="15">
    <w:name w:val="footer"/>
    <w:basedOn w:val="0"/>
    <w:pPr>
      <w:tabs>
        <w:tab w:val="center" w:pos="4153"/>
        <w:tab w:val="right" w:pos="8306"/>
      </w:tabs>
      <w:snapToGrid w:val="0"/>
      <w:jc w:val="left"/>
    </w:pPr>
    <w:rPr>
      <w:sz w:val="18"/>
      <w:szCs w:val="18"/>
    </w:rPr>
  </w:style>
  <w:style w:type="paragraph" w:styleId="16">
    <w:name w:val="header"/>
    <w:basedOn w:val="0"/>
    <w:pPr>
      <w:pBdr>
        <w:top w:val="none" w:sz="0" w:space="0" w:color="auto"/>
        <w:left w:val="none" w:sz="0" w:space="0" w:color="auto"/>
        <w:bottom w:val="none" w:sz="0" w:space="0" w:color="auto"/>
        <w:right w:val="none" w:sz="0" w:space="0" w:color="auto"/>
      </w:pBdr>
      <w:tabs>
        <w:tab w:val="center" w:pos="4153"/>
        <w:tab w:val="right" w:pos="8306"/>
      </w:tabs>
      <w:snapToGrid w:val="0"/>
    </w:pPr>
    <w:rPr>
      <w:sz w:val="18"/>
      <w:szCs w:val="18"/>
    </w:rPr>
  </w:style>
  <w:style w:type="character" w:styleId="17">
    <w:name w:val="page number"/>
    <w:basedOn w:val="10"/>
    <w:rPr>
      <w:rFonts w:cs="Times New Roma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styles" Target="styles.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19</TotalTime>
  <Application>Yozo_Office</Application>
  <Pages>6</Pages>
  <Words>1944</Words>
  <Characters>1987</Characters>
  <Lines>128</Lines>
  <Paragraphs>44</Paragraphs>
  <CharactersWithSpaces>2067</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title>遂宁市财政局 遂宁市环境保护局关于印发</dc:title>
  <dc:creator>lianxiang</dc:creator>
  <cp:lastModifiedBy>er</cp:lastModifiedBy>
  <cp:revision>7</cp:revision>
  <cp:lastPrinted>2017-08-08T09:45:00Z</cp:lastPrinted>
  <dcterms:created xsi:type="dcterms:W3CDTF">2017-07-04T09:17:00Z</dcterms:creat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2052-10.1.0.6690</vt:lpwstr>
  </property>
</Properties>
</file>